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113</w:t>
      </w:r>
    </w:p>
    <w:p>
      <w:r>
        <w:t>Bundesgericht (BGE), 2005-11-22, DE</w:t>
      </w:r>
    </w:p>
    <w:p>
      <w:r>
        <w:rPr>
          <w:b/>
        </w:rPr>
        <w:t xml:space="preserve">Quelle: </w:t>
      </w:r>
      <w:r>
        <w:t>https://mcp.opencaselaw.ch/entscheid/bge_132 II 113</w:t>
      </w:r>
    </w:p>
    <w:p>
      <w:r>
        <w:t>FR: ATF 132 II 113</w:t>
      </w:r>
    </w:p>
    <w:p>
      <w:r>
        <w:t>IT: DTF 132 II 113</w:t>
      </w:r>
    </w:p>
    <w:p>
      <w:pPr>
        <w:pStyle w:val="Heading2"/>
      </w:pPr>
      <w:r>
        <w:t>Regeste</w:t>
      </w:r>
    </w:p>
    <w:p>
      <w:r>
        <w:t>Regeste Art. 41 Abs. 1 und Art. 50 Abs. 2 BüG; Art. 12 und 13 Abs. 1 lit. a VwVG; Nichtigerklärung der erleichterten Einbürgerung; Mitwirkungspflicht der Partei. Weiss die Partei, dass die Voraussetzungen für die erleichterte Einbürgerung im Zeitpunkt der Verfügung erfüllt sein müssen, und erklärt sie, in einer stabilen Ehe zu leben, so hat sie die Behörde unaufgefordert über eine nachträgliche Änderung der Verhältnisse zu orientieren, von der sie weiss oder wissen muss, dass sie einer erleichterten Einbürgerung entgegensteht (E. 3).</w:t>
      </w:r>
    </w:p>
    <w:p>
      <w:pPr>
        <w:pStyle w:val="Heading2"/>
      </w:pPr>
      <w:r>
        <w:t>Erwägungen</w:t>
      </w:r>
    </w:p>
    <w:p>
      <w:r>
        <w:rPr>
          <w:b/>
        </w:rPr>
        <w:t>E. 3.1</w:t>
      </w:r>
    </w:p>
    <w:p>
      <w:r>
        <w:t>Nach Art. 41 Abs. 1 BüG kann die Einbürgerung vom Bundesamt mit Zustimmung der Behörde des Heimatkantons innert fünf Jahren nichtig erklärt werden, wenn sie durch falsche Angaben oder BGE 132 II 113 S. 115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BGE 130 II 482 E. 2). Arglist im Sinne des strafrechtlichen Betrugstatbestands ist nicht erforderlich, wohl aber dass der Betroffene bewusst falsche Angaben macht bzw. die Behörde bewusst in einem falschen Glauben lässt und so den Vorwurf auf sich zieht, es unterlassen zu haben, die Behörde über eine erhebliche Tatsache zu informieren ( BGE 130 II 482 E. 2).</w:t>
      </w:r>
    </w:p>
    <w:p>
      <w:r>
        <w:rPr>
          <w:b/>
        </w:rPr>
        <w:t>E. 3.2</w:t>
      </w:r>
    </w:p>
    <w:p>
      <w:r>
        <w:t>In verfahrensrechtlicher Hinsicht richtet sich die erleichterte Einbürgerung vor der Bundesbehörde nach den Bestimmungen des Bundesgesetzes über das Verwaltungsverfahren (VwVG; SR 172.021; Art. 50 Abs. 2 BüG ). Danach obliegt der Behörde, den Sachverhalt von Amtes wegen festzustellen ( Art. 12 VwVG ; MOOR, Droit administratif, Bd. II, 2. Aufl. 2002, N. 2.2.6.3, S. 258 ff.). In diesem Verfahren, das die Partei durch ihr Begehren einleitet, ist diese allerdings aufgrund von Art. 13 Abs. 1 lit. a VwVG gehalten, an der Feststellung des Sachverhalts mitzuwirken, wobei die Behörde die Partei darüber aufzuklären hat, worin die Mitwirkungspflicht besteht und welche Tragweite ihr zukommt (vgl. KÖLZ/HÄNER, Verwaltungsverfahren und Verwaltungsrechtspflege des Bundes, 2. Aufl. 1998, Rz. 272 ff.; MOOR, a.a.O., N. 2.2.6.3, S. 261). Sind bestimmte Tatsachen, wie dies hier hinsichtlich der Voraussetzung des intakten Ehelebens offensichtlich der Fall ist, der Behörde nicht oder nur schwerlich zugänglich, gebieten auch Treu und Glauben der Partei, der Behörde die ersuchten Auskünfte über einschlägige Tatsachen zu erteilen (vgl. MOOR, a.a.O., N. 2.2.6.3, S. 260). Die dem Verwaltungsrecht eigene Mitwirkungs- bzw. Auskunftspflicht besteht im Übrigen selbst dann, wenn sich die Auskunft zum Nachteil des Rechtsunterworfenen auswirkt (vgl. dazu etwa: SEILER, Das (Miss-)Verhältnis zwischen strafprozessualem Schweigerecht und verwaltungsrechtlicher Mitwirkungs- und Auskunftspflicht, in: recht 1/2005 S. 11 ff., insbesondere S. 20). Weiss der Gesuchsteller, wie hier, dass die fraglichen Voraussetzungen im Zeitpunkt der erleichterten Einbürgerung erfüllt sein müssen, ergibt sich aus der gleichen Überlegung auch seine Pflicht, die Behörde auch ohne Aufforderung über eine nachträgliche Änderung der Verhältnisse zu orientieren, von der er weiss oder wissen muss, dass sie einer BGE 132 II 113 S. 116 Bewilligung entgegensteht. Die Behörde darf sich darauf verlassen, dass die vormals erteilten Auskünfte bei passivem Verhalten des Gesuchstellers nach wie vor der Wirklichkeit entsprechen. Wie es sich verhielte, wenn sich die Einbürgerung sehr lange hinausgezögert hätte, braucht hier nicht entschieden zu werden, da zwischen der Erklärung der Ehegatten (16. August 1999) und der Einbürgerung (19. Januar 2000) nicht übermässig viel Zeit verstrichen ist. Da es der Beschwerdeführer unterliess, die Behörde spontan über die einschneidenden und für die Einbürgerung wesentlichen Veränderungen aufzuklären, die im Oktober 1999 in der Beziehung der Ehegatten eingetreten waren, hat er gegen Treu und Glauben verstossen. Dieser Verstoss ist dem Erschleichen der Einbürgerung gleichzusetzen, weshalb diese zu Recht widerrufen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